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4E" w:rsidRDefault="001E684E" w:rsidP="001E684E">
      <w:pPr>
        <w:pStyle w:val="Ttulo1"/>
      </w:pPr>
      <w:bookmarkStart w:id="0" w:name="_Toc209791329"/>
      <w:r>
        <w:t>Glosario</w:t>
      </w:r>
      <w:bookmarkEnd w:id="0"/>
    </w:p>
    <w:p w:rsidR="001051E9" w:rsidRPr="001051E9" w:rsidRDefault="001051E9" w:rsidP="001051E9">
      <w:pPr>
        <w:spacing w:before="240" w:after="0"/>
        <w:rPr>
          <w:rFonts w:ascii="Calibri Light" w:eastAsia="Times New Roman" w:hAnsi="Calibri Light" w:cs="Times New Roman"/>
          <w:color w:val="2E74B5"/>
          <w:sz w:val="26"/>
          <w:szCs w:val="26"/>
        </w:rPr>
      </w:pPr>
      <w:r w:rsidRPr="001051E9">
        <w:rPr>
          <w:rFonts w:ascii="Calibri Light" w:eastAsia="Times New Roman" w:hAnsi="Calibri Light" w:cs="Times New Roman"/>
          <w:color w:val="2E74B5"/>
          <w:sz w:val="26"/>
          <w:szCs w:val="26"/>
        </w:rPr>
        <w:t>Tipos de dispositivos y establecimientos</w:t>
      </w:r>
    </w:p>
    <w:p w:rsidR="00060981" w:rsidRPr="00060981" w:rsidRDefault="00060981" w:rsidP="00060981">
      <w:pPr>
        <w:spacing w:before="240"/>
        <w:rPr>
          <w:rFonts w:cs="Arial"/>
          <w:szCs w:val="20"/>
        </w:rPr>
      </w:pPr>
      <w:r w:rsidRPr="001051E9">
        <w:rPr>
          <w:rFonts w:eastAsia="Times New Roman" w:cs="Arial"/>
          <w:b/>
          <w:szCs w:val="20"/>
        </w:rPr>
        <w:t>Dispositivos de cuidado alternativo al medio familiar:</w:t>
      </w:r>
      <w:r w:rsidRPr="00060981">
        <w:rPr>
          <w:rFonts w:cs="Arial"/>
          <w:szCs w:val="20"/>
        </w:rPr>
        <w:t xml:space="preserve"> espacios residenciales que garantizan alojamiento y cuidado a niñas, niños y adolescentes bajo una medida excepcional, con eje en la protección de sus derechos. Reúne los siguientes tipos de establecimientos:</w:t>
      </w:r>
    </w:p>
    <w:p w:rsidR="00060981" w:rsidRPr="00060981" w:rsidRDefault="00060981" w:rsidP="00060981">
      <w:pPr>
        <w:spacing w:before="240"/>
        <w:ind w:left="708"/>
        <w:rPr>
          <w:rFonts w:cs="Arial"/>
          <w:szCs w:val="20"/>
        </w:rPr>
      </w:pPr>
      <w:r w:rsidRPr="00060981">
        <w:rPr>
          <w:rFonts w:cs="Arial"/>
          <w:i/>
          <w:szCs w:val="20"/>
        </w:rPr>
        <w:t>Hogar convivencial para niñas, niños y adolescentes</w:t>
      </w:r>
      <w:r w:rsidRPr="00060981">
        <w:rPr>
          <w:rFonts w:cs="Arial"/>
          <w:szCs w:val="20"/>
        </w:rPr>
        <w:t xml:space="preserve">: </w:t>
      </w:r>
      <w:r>
        <w:rPr>
          <w:rStyle w:val="Normal1Car"/>
        </w:rPr>
        <w:t xml:space="preserve">establecimiento no sanatorial destinado al alojamiento de carácter transitorio de niñas, niños y adolescentes con autonomía psicofísica acorde a su edad. </w:t>
      </w:r>
      <w:r w:rsidRPr="00060981">
        <w:rPr>
          <w:rFonts w:cs="Arial"/>
        </w:rPr>
        <w:t>En este subuniverso se incluyen establecimientos con domicilio tanto en la CABA como en el Gran Buenos Aires (todos supervisados por el GCBA).</w:t>
      </w:r>
    </w:p>
    <w:p w:rsidR="00060981" w:rsidRPr="00060981" w:rsidRDefault="00060981" w:rsidP="00060981">
      <w:pPr>
        <w:spacing w:before="240"/>
        <w:ind w:left="708"/>
        <w:rPr>
          <w:rFonts w:cs="Arial"/>
          <w:szCs w:val="20"/>
        </w:rPr>
      </w:pPr>
      <w:r w:rsidRPr="00060981">
        <w:rPr>
          <w:rFonts w:cs="Arial"/>
          <w:i/>
          <w:szCs w:val="20"/>
        </w:rPr>
        <w:t>Hogar convivencial para adolescentes embarazadas y/o madres con sus hijos/as</w:t>
      </w:r>
      <w:r w:rsidRPr="00060981">
        <w:rPr>
          <w:rFonts w:cs="Arial"/>
          <w:szCs w:val="20"/>
        </w:rPr>
        <w:t xml:space="preserve">: </w:t>
      </w:r>
      <w:r w:rsidRPr="00060981">
        <w:rPr>
          <w:rStyle w:val="Normal1Car"/>
          <w:lang w:val="es-AR" w:eastAsia="es-AR"/>
        </w:rPr>
        <w:t>establecimiento destinado al alojamiento transitorio de adolescentes embarazadas y de adolescentes madres con sus hijos/as, con autonomía psicofísica, que se encuentren en situación de vulnerabilidad o desvinculadas de su núcleo familiar, o circunstancialmente no puedan cubrir sus necesidades básicas en forma autónoma.</w:t>
      </w:r>
    </w:p>
    <w:p w:rsidR="00060981" w:rsidRPr="00060981" w:rsidRDefault="00060981" w:rsidP="00060981">
      <w:pPr>
        <w:spacing w:before="240"/>
        <w:ind w:left="708"/>
        <w:rPr>
          <w:rFonts w:cs="Arial"/>
          <w:szCs w:val="20"/>
        </w:rPr>
      </w:pPr>
      <w:r w:rsidRPr="00060981">
        <w:rPr>
          <w:rFonts w:cs="Arial"/>
          <w:i/>
          <w:szCs w:val="20"/>
        </w:rPr>
        <w:t>Hogar convivencial de atención especializada</w:t>
      </w:r>
      <w:r w:rsidRPr="00060981">
        <w:rPr>
          <w:rFonts w:cs="Arial"/>
          <w:szCs w:val="20"/>
        </w:rPr>
        <w:t xml:space="preserve">: </w:t>
      </w:r>
      <w:r w:rsidRPr="00060981">
        <w:rPr>
          <w:rStyle w:val="Normal1Car"/>
          <w:lang w:val="es-AR" w:eastAsia="es-AR"/>
        </w:rPr>
        <w:t>establecimiento destinado al alojamiento transitorio de niñas, niños y adolescentes que requieran mayor contención y seguimiento profesional en el espacio institucional convivencial que contemple un tratamiento específico, pero que no requiera internación en un establecimiento de salud, de acuerdo a lo establecido por los arts. 14 y 15 de la Ley Ciudad 448.</w:t>
      </w:r>
    </w:p>
    <w:p w:rsidR="00060981" w:rsidRPr="00060981" w:rsidRDefault="00060981" w:rsidP="00060981">
      <w:pPr>
        <w:spacing w:before="240"/>
        <w:ind w:left="708"/>
        <w:rPr>
          <w:rFonts w:cs="Arial"/>
          <w:szCs w:val="20"/>
        </w:rPr>
      </w:pPr>
      <w:r w:rsidRPr="00060981">
        <w:rPr>
          <w:rFonts w:cs="Arial"/>
          <w:i/>
          <w:szCs w:val="20"/>
        </w:rPr>
        <w:t>Hogar terapéutico de niñas, niños y adolescentes</w:t>
      </w:r>
      <w:r w:rsidRPr="00060981">
        <w:rPr>
          <w:rFonts w:cs="Arial"/>
          <w:szCs w:val="20"/>
        </w:rPr>
        <w:t>: establecimiento que ofrece alojamiento flexible y transitorio a personas con trastorno mental severo (TMS). Brinda respuestas a las necesidades de alojamiento, soporte social y sanitario a las personas con TMS que se encuentren en condiciones de acceder a dicho recurso.</w:t>
      </w:r>
    </w:p>
    <w:p w:rsidR="00060981" w:rsidRPr="00060981" w:rsidRDefault="00060981" w:rsidP="00060981">
      <w:pPr>
        <w:spacing w:before="240"/>
        <w:rPr>
          <w:rFonts w:cs="Arial"/>
          <w:szCs w:val="20"/>
        </w:rPr>
      </w:pPr>
      <w:r w:rsidRPr="001051E9">
        <w:rPr>
          <w:rFonts w:eastAsia="Times New Roman" w:cs="Arial"/>
          <w:b/>
          <w:szCs w:val="20"/>
        </w:rPr>
        <w:t>Dispositivos del sistema de responsabilidad penal juvenil:</w:t>
      </w:r>
      <w:r w:rsidRPr="00060981">
        <w:rPr>
          <w:rFonts w:cs="Arial"/>
          <w:szCs w:val="20"/>
        </w:rPr>
        <w:t xml:space="preserve"> ámbitos de cumplimiento de una medida penal dispuesta por juzgados y/o tribunales con competencia penal juvenil, para un/a adolescente menor de 18 años de edad, por una infracción o una presunta infracción a la ley penal. Las medidas de restricción parcial de la libertad ambulatoria son cumplidas en residencias socioeducativas, y las medidas de privación de la libertad ambulatoria, en centros de régimen cerrado.</w:t>
      </w:r>
    </w:p>
    <w:p w:rsidR="00060981" w:rsidRPr="00060981" w:rsidRDefault="00060981" w:rsidP="00060981">
      <w:pPr>
        <w:spacing w:before="240"/>
        <w:ind w:left="708"/>
        <w:rPr>
          <w:rFonts w:cs="Arial"/>
          <w:szCs w:val="20"/>
        </w:rPr>
      </w:pPr>
      <w:r w:rsidRPr="00060981">
        <w:rPr>
          <w:rFonts w:cs="Arial"/>
          <w:i/>
          <w:szCs w:val="20"/>
        </w:rPr>
        <w:t xml:space="preserve">Residencia socioeducativa </w:t>
      </w:r>
      <w:r w:rsidRPr="00060981">
        <w:rPr>
          <w:rFonts w:cs="Arial"/>
          <w:szCs w:val="20"/>
        </w:rPr>
        <w:t>(sistema de responsabilidad penal juvenil): establecimiento convivencial en el cual los/as adolescentes allí alojados/as por una medida penal dispuesta por la justicia pueden salir transitoriamente, previendo que la realización de las actividades educativas, recreativas, de atención a la salud se desarrollen en ámbitos e instituciones de la comunidad.</w:t>
      </w:r>
    </w:p>
    <w:p w:rsidR="00060981" w:rsidRPr="00060981" w:rsidRDefault="00060981" w:rsidP="00060981">
      <w:pPr>
        <w:spacing w:before="240" w:after="240"/>
        <w:ind w:left="708"/>
        <w:rPr>
          <w:rFonts w:cs="Arial"/>
          <w:szCs w:val="20"/>
          <w:lang w:val="es-ES"/>
        </w:rPr>
      </w:pPr>
      <w:r w:rsidRPr="00060981">
        <w:rPr>
          <w:rFonts w:cs="Arial"/>
          <w:i/>
          <w:szCs w:val="20"/>
        </w:rPr>
        <w:t>Centro de régimen cerrado</w:t>
      </w:r>
      <w:r w:rsidRPr="00060981">
        <w:rPr>
          <w:rFonts w:cs="Arial"/>
          <w:szCs w:val="20"/>
        </w:rPr>
        <w:t xml:space="preserve"> (sistema de responsabilidad penal juvenil): establecimiento convivencial de alojamiento para la aplicación de medidas penales juveniles de privación de la libertad, dispuestas por juzgados o tribunales con competencia en la materia e impuestas a adolescentes menores de 18 años de edad y a jóvenes de hasta 21 años de edad, a quienes se les imputa la comisión o participación en una acción tipificada como delito penal.</w:t>
      </w:r>
    </w:p>
    <w:p w:rsidR="00060981" w:rsidRPr="00060981" w:rsidRDefault="00060981" w:rsidP="00060981">
      <w:pPr>
        <w:spacing w:before="240" w:after="240"/>
        <w:rPr>
          <w:rFonts w:cs="Arial"/>
          <w:szCs w:val="20"/>
        </w:rPr>
      </w:pPr>
      <w:r w:rsidRPr="001051E9">
        <w:rPr>
          <w:rFonts w:eastAsia="Times New Roman" w:cs="Arial"/>
          <w:b/>
          <w:szCs w:val="20"/>
        </w:rPr>
        <w:t>Paradores:</w:t>
      </w:r>
      <w:r w:rsidRPr="00060981">
        <w:rPr>
          <w:rFonts w:cs="Arial"/>
          <w:szCs w:val="20"/>
        </w:rPr>
        <w:t xml:space="preserve"> casas abiertas que forman parte del circuito de atención integral a niñas, niños y adolescentes en situación de calle hasta los 18 años de edad. Funcionan las 24 horas durante todos los días del año. Brindan alojamiento transitorio con el objetivo de resguardar la integridad </w:t>
      </w:r>
      <w:r w:rsidRPr="00060981">
        <w:rPr>
          <w:rFonts w:cs="Arial"/>
          <w:szCs w:val="20"/>
        </w:rPr>
        <w:lastRenderedPageBreak/>
        <w:t>física, moral y emocional de las niñas, niños y adolescentes. Trabajan desde la perspectiva de la atención integral a los derechos para su pronta restitución, atienden a las necesidades inmediatas de alimento y descanso, aseguran su acceso a la salud, educación y documentación, y promueven, en caso de ser posible, su revinculación con la familia de origen.</w:t>
      </w:r>
    </w:p>
    <w:p w:rsidR="00060981" w:rsidRPr="00060981" w:rsidRDefault="00060981" w:rsidP="00060981">
      <w:pPr>
        <w:spacing w:before="240" w:after="240"/>
        <w:jc w:val="left"/>
        <w:rPr>
          <w:rFonts w:cs="Arial"/>
          <w:szCs w:val="20"/>
        </w:rPr>
      </w:pPr>
      <w:r w:rsidRPr="001051E9">
        <w:rPr>
          <w:rFonts w:eastAsia="Times New Roman" w:cs="Arial"/>
          <w:b/>
          <w:szCs w:val="20"/>
        </w:rPr>
        <w:t>Otro:</w:t>
      </w:r>
      <w:r w:rsidRPr="00060981">
        <w:rPr>
          <w:rFonts w:cs="Arial"/>
          <w:szCs w:val="20"/>
        </w:rPr>
        <w:t xml:space="preserve"> incluye dos dispositivos que, por sus características, no se ajustan a las categorías descriptas anteriormente.</w:t>
      </w:r>
    </w:p>
    <w:p w:rsidR="003E7078" w:rsidRDefault="003E7078" w:rsidP="001E684E">
      <w:pPr>
        <w:spacing w:before="240" w:after="0"/>
        <w:rPr>
          <w:rFonts w:ascii="Calibri Light" w:eastAsia="Times New Roman" w:hAnsi="Calibri Light" w:cs="Times New Roman"/>
          <w:color w:val="2E74B5"/>
          <w:sz w:val="26"/>
          <w:szCs w:val="26"/>
        </w:rPr>
      </w:pPr>
      <w:bookmarkStart w:id="1" w:name="AUH"/>
      <w:bookmarkStart w:id="2" w:name="MAX"/>
      <w:bookmarkStart w:id="3" w:name="_Toc127966471"/>
      <w:bookmarkStart w:id="4" w:name="Nivel"/>
      <w:r>
        <w:rPr>
          <w:rFonts w:ascii="Calibri Light" w:eastAsia="Times New Roman" w:hAnsi="Calibri Light" w:cs="Times New Roman"/>
          <w:color w:val="2E74B5"/>
          <w:sz w:val="26"/>
          <w:szCs w:val="26"/>
        </w:rPr>
        <w:t>Asignación Universal por Hijo</w:t>
      </w:r>
    </w:p>
    <w:bookmarkEnd w:id="1"/>
    <w:p w:rsidR="003E7078" w:rsidRDefault="003E7078" w:rsidP="001E684E">
      <w:pPr>
        <w:spacing w:before="240" w:after="0"/>
        <w:rPr>
          <w:rFonts w:cs="Arial"/>
          <w:color w:val="000000"/>
          <w:szCs w:val="20"/>
          <w:shd w:val="clear" w:color="auto" w:fill="FFFFFF"/>
        </w:rPr>
      </w:pPr>
      <w:r>
        <w:rPr>
          <w:rFonts w:cs="Arial"/>
          <w:color w:val="000000"/>
          <w:szCs w:val="20"/>
          <w:shd w:val="clear" w:color="auto" w:fill="FFFFFF"/>
        </w:rPr>
        <w:t>Asignación no contributiva destinada</w:t>
      </w:r>
      <w:r w:rsidRPr="003E7078">
        <w:rPr>
          <w:rFonts w:cs="Arial"/>
          <w:color w:val="000000"/>
          <w:szCs w:val="20"/>
          <w:shd w:val="clear" w:color="auto" w:fill="FFFFFF"/>
        </w:rPr>
        <w:t xml:space="preserve"> a aquellos niños, niñas y adolescentes residentes en la República Argentina, que no tengan otra asignación familiar y pertenezcan a grupos familiares que se encuentren desocupados o se desempeñen en la economía informal</w:t>
      </w:r>
      <w:r>
        <w:rPr>
          <w:rFonts w:cs="Arial"/>
          <w:color w:val="000000"/>
          <w:szCs w:val="20"/>
          <w:shd w:val="clear" w:color="auto" w:fill="FFFFFF"/>
        </w:rPr>
        <w:t xml:space="preserve"> (</w:t>
      </w:r>
      <w:r w:rsidRPr="005B66A5">
        <w:rPr>
          <w:rFonts w:cs="Arial"/>
          <w:color w:val="000000"/>
          <w:szCs w:val="20"/>
          <w:shd w:val="clear" w:color="auto" w:fill="FFFFFF"/>
        </w:rPr>
        <w:t>Decreto Nº 1.602/09, del Poder Ejecutivo Naciona</w:t>
      </w:r>
      <w:r>
        <w:rPr>
          <w:rFonts w:cs="Arial"/>
          <w:color w:val="000000"/>
          <w:szCs w:val="20"/>
          <w:shd w:val="clear" w:color="auto" w:fill="FFFFFF"/>
        </w:rPr>
        <w:t>l).</w:t>
      </w:r>
    </w:p>
    <w:p w:rsidR="001E684E" w:rsidRPr="00033618" w:rsidRDefault="001E684E" w:rsidP="001E684E">
      <w:pPr>
        <w:spacing w:before="240" w:after="0"/>
        <w:rPr>
          <w:rFonts w:ascii="Calibri Light" w:eastAsia="Times New Roman" w:hAnsi="Calibri Light" w:cs="Times New Roman"/>
          <w:color w:val="2E74B5"/>
          <w:sz w:val="26"/>
          <w:szCs w:val="26"/>
        </w:rPr>
      </w:pPr>
      <w:r w:rsidRPr="00033618">
        <w:rPr>
          <w:rFonts w:ascii="Calibri Light" w:eastAsia="Times New Roman" w:hAnsi="Calibri Light" w:cs="Times New Roman"/>
          <w:color w:val="2E74B5"/>
          <w:sz w:val="26"/>
          <w:szCs w:val="26"/>
        </w:rPr>
        <w:t xml:space="preserve">Cobertura de salud </w:t>
      </w:r>
    </w:p>
    <w:p w:rsidR="001E684E" w:rsidRPr="00033618" w:rsidRDefault="001E684E" w:rsidP="001051E9">
      <w:pPr>
        <w:spacing w:before="240" w:after="0"/>
        <w:rPr>
          <w:rFonts w:eastAsia="Times New Roman" w:cs="Arial"/>
          <w:szCs w:val="20"/>
        </w:rPr>
      </w:pPr>
      <w:r w:rsidRPr="001051E9">
        <w:rPr>
          <w:rFonts w:eastAsia="Times New Roman" w:cs="Arial"/>
          <w:b/>
          <w:szCs w:val="20"/>
        </w:rPr>
        <w:t>Obra social:</w:t>
      </w:r>
      <w:r w:rsidRPr="00033618">
        <w:rPr>
          <w:rFonts w:eastAsia="Times New Roman" w:cs="Arial"/>
          <w:szCs w:val="20"/>
        </w:rPr>
        <w:t xml:space="preserve"> cobertura de salud que obtienen los trabajadores por el descuento en sus salarios, en su haber previsional o a través de su aporte (para los monotributistas o autónomos). Incluye a los familiares del titular. Este descuento les permite estar afiliados a obras sociales sindicales, de empleados estatales nacionales, provinciales o municipales, del poder judicial, del poder legislativo o del PAMI.</w:t>
      </w:r>
    </w:p>
    <w:p w:rsidR="001E684E" w:rsidRPr="00033618" w:rsidRDefault="001E684E" w:rsidP="001E684E">
      <w:pPr>
        <w:spacing w:before="240" w:after="0"/>
        <w:rPr>
          <w:rFonts w:eastAsia="Times New Roman" w:cs="Arial"/>
          <w:szCs w:val="20"/>
        </w:rPr>
      </w:pPr>
      <w:r w:rsidRPr="001051E9">
        <w:rPr>
          <w:rFonts w:eastAsia="Times New Roman" w:cs="Arial"/>
          <w:b/>
          <w:szCs w:val="20"/>
        </w:rPr>
        <w:t>Prepaga a través de obra social</w:t>
      </w:r>
      <w:r w:rsidRPr="00033618">
        <w:rPr>
          <w:rFonts w:eastAsia="Times New Roman" w:cs="Arial"/>
          <w:szCs w:val="20"/>
        </w:rPr>
        <w:t>: pertenencia al sistema de medicina privada a través del aporte de una obra social.</w:t>
      </w:r>
    </w:p>
    <w:p w:rsidR="001E684E" w:rsidRPr="00033618" w:rsidRDefault="001E684E" w:rsidP="001E684E">
      <w:pPr>
        <w:spacing w:before="240" w:after="0"/>
        <w:rPr>
          <w:rFonts w:eastAsia="Times New Roman" w:cs="Arial"/>
          <w:szCs w:val="20"/>
        </w:rPr>
      </w:pPr>
      <w:r w:rsidRPr="001051E9">
        <w:rPr>
          <w:rFonts w:eastAsia="Times New Roman" w:cs="Arial"/>
          <w:b/>
          <w:szCs w:val="20"/>
        </w:rPr>
        <w:t>Prepaga sólo por contratación voluntaria</w:t>
      </w:r>
      <w:r w:rsidRPr="00033618">
        <w:rPr>
          <w:rFonts w:eastAsia="Times New Roman" w:cs="Arial"/>
          <w:szCs w:val="20"/>
        </w:rPr>
        <w:t>: sistema de salud privado contratado voluntariamente y pagado en su totalidad por el titular. Excluye: contratación de un servicio de emergencias médicas que solamente preste el servicio de traslado en ambulancia desde el domicilio particular a un centro de atención de salud.</w:t>
      </w:r>
    </w:p>
    <w:p w:rsidR="001E684E" w:rsidRDefault="001E684E" w:rsidP="001E684E">
      <w:pPr>
        <w:spacing w:before="240" w:after="0"/>
        <w:rPr>
          <w:rFonts w:eastAsia="Times New Roman" w:cs="Arial"/>
          <w:szCs w:val="20"/>
        </w:rPr>
      </w:pPr>
      <w:r w:rsidRPr="001051E9">
        <w:rPr>
          <w:rFonts w:eastAsia="Times New Roman" w:cs="Arial"/>
          <w:b/>
          <w:szCs w:val="20"/>
        </w:rPr>
        <w:t>Sólo sistema público</w:t>
      </w:r>
      <w:r w:rsidRPr="00033618">
        <w:rPr>
          <w:rFonts w:eastAsia="Times New Roman" w:cs="Arial"/>
          <w:szCs w:val="20"/>
        </w:rPr>
        <w:t>: no tiene obra social, prepaga. Ausencia o carencia de tipos anteriormente mencionados de cobertura de salud.</w:t>
      </w:r>
    </w:p>
    <w:p w:rsidR="001519CE" w:rsidRDefault="001519CE" w:rsidP="001519CE">
      <w:pPr>
        <w:spacing w:before="240"/>
        <w:rPr>
          <w:rFonts w:ascii="Calibri" w:eastAsia="Calibri" w:hAnsi="Calibri" w:cs="Times New Roman"/>
        </w:rPr>
      </w:pPr>
      <w:bookmarkStart w:id="5" w:name="Genero"/>
      <w:r w:rsidRPr="005E53AF">
        <w:rPr>
          <w:rFonts w:ascii="Calibri Light" w:eastAsia="Times New Roman" w:hAnsi="Calibri Light" w:cs="Times New Roman"/>
          <w:color w:val="2E74B5"/>
          <w:sz w:val="26"/>
          <w:szCs w:val="26"/>
        </w:rPr>
        <w:t>Género autopercibido</w:t>
      </w:r>
      <w:bookmarkEnd w:id="5"/>
    </w:p>
    <w:p w:rsidR="001519CE" w:rsidRPr="005E53AF" w:rsidRDefault="001519CE" w:rsidP="001519CE">
      <w:pPr>
        <w:spacing w:before="240"/>
        <w:rPr>
          <w:rFonts w:eastAsia="Calibri" w:cs="Arial"/>
          <w:szCs w:val="20"/>
        </w:rPr>
      </w:pPr>
      <w:r w:rsidRPr="001519CE">
        <w:rPr>
          <w:rFonts w:eastAsia="Calibri" w:cs="Arial"/>
          <w:szCs w:val="20"/>
        </w:rPr>
        <w:t xml:space="preserve">Se define como la </w:t>
      </w:r>
      <w:r w:rsidRPr="005E53AF">
        <w:rPr>
          <w:rFonts w:eastAsia="Calibri" w:cs="Arial"/>
          <w:szCs w:val="20"/>
        </w:rPr>
        <w:t xml:space="preserve">vivencia interna e individual del género tal como cada persona la siente, la cual puede corresponder con el sexo asignado al momento del nacimiento o no, incluyendo la vivencia personal del cuerpo. Esto puede involucrar la modificación de la apariencia o de la función corporal a través de medios farmacológicos, quirúrgicos o de otra índole, siempre que ello sea libremente escogido. También incluye otras expresiones de género, como la vestimenta, el modo de hablar y los modales (Ley N° 26.743). </w:t>
      </w:r>
    </w:p>
    <w:p w:rsidR="001519CE" w:rsidRPr="005E53AF" w:rsidRDefault="001519CE" w:rsidP="001519CE">
      <w:pPr>
        <w:numPr>
          <w:ilvl w:val="0"/>
          <w:numId w:val="11"/>
        </w:numPr>
        <w:spacing w:before="240"/>
        <w:contextualSpacing/>
        <w:rPr>
          <w:rFonts w:eastAsia="Calibri" w:cs="Arial"/>
          <w:szCs w:val="20"/>
        </w:rPr>
      </w:pPr>
      <w:r w:rsidRPr="005E53AF">
        <w:rPr>
          <w:rFonts w:eastAsia="Calibri" w:cs="Arial"/>
          <w:szCs w:val="20"/>
        </w:rPr>
        <w:t>Mujer cis: persona que se le asignó el sexo femenino al nacer por sus características anatómicas, fisiológicas, hormonales, etc., y se identifica como mujer. Es decir, que su identidad de género coincide con el sexo asignado al nacer.</w:t>
      </w:r>
    </w:p>
    <w:p w:rsidR="001519CE" w:rsidRPr="005E53AF" w:rsidRDefault="001519CE" w:rsidP="001519CE">
      <w:pPr>
        <w:numPr>
          <w:ilvl w:val="0"/>
          <w:numId w:val="10"/>
        </w:numPr>
        <w:spacing w:before="240"/>
        <w:contextualSpacing/>
        <w:rPr>
          <w:rFonts w:eastAsia="Calibri" w:cs="Arial"/>
          <w:szCs w:val="20"/>
        </w:rPr>
      </w:pPr>
      <w:r w:rsidRPr="005E53AF">
        <w:rPr>
          <w:rFonts w:eastAsia="Calibri" w:cs="Arial"/>
          <w:szCs w:val="20"/>
        </w:rPr>
        <w:t>Varón cis: persona que se le asignó el sexo masculino al nacer por sus características anatómicas, fisiológicas, hormonales, etc., y se identifica como varón. Es decir, que su identidad de género coincide con el sexo asignado al nacer.</w:t>
      </w:r>
    </w:p>
    <w:p w:rsidR="001519CE" w:rsidRPr="005E53AF" w:rsidRDefault="001519CE" w:rsidP="001519CE">
      <w:pPr>
        <w:numPr>
          <w:ilvl w:val="0"/>
          <w:numId w:val="10"/>
        </w:numPr>
        <w:spacing w:before="240"/>
        <w:contextualSpacing/>
        <w:rPr>
          <w:rFonts w:eastAsia="Calibri" w:cs="Arial"/>
          <w:szCs w:val="20"/>
        </w:rPr>
      </w:pPr>
      <w:r w:rsidRPr="005E53AF">
        <w:rPr>
          <w:rFonts w:eastAsia="Calibri" w:cs="Arial"/>
          <w:szCs w:val="20"/>
        </w:rPr>
        <w:t>Varón trans: persona cuyo sexo asignado al nacer fue mujer y se autoidentifica como varón. Los varones trans pueden modificar su comportamiento, habla y estética para corresponderse con lo que ha sido socialmente asignado a los varones (expresión de género). No necesariamente involucra la adecuación corporal mediante intervenciones quirúrgicas y/o hormonales.</w:t>
      </w:r>
    </w:p>
    <w:p w:rsidR="001519CE" w:rsidRPr="005E53AF" w:rsidRDefault="001519CE" w:rsidP="001519CE">
      <w:pPr>
        <w:numPr>
          <w:ilvl w:val="0"/>
          <w:numId w:val="10"/>
        </w:numPr>
        <w:spacing w:before="240"/>
        <w:contextualSpacing/>
        <w:rPr>
          <w:rFonts w:eastAsia="Calibri" w:cs="Arial"/>
          <w:szCs w:val="20"/>
        </w:rPr>
      </w:pPr>
      <w:r w:rsidRPr="005E53AF">
        <w:rPr>
          <w:rFonts w:eastAsia="Calibri" w:cs="Arial"/>
          <w:szCs w:val="20"/>
        </w:rPr>
        <w:lastRenderedPageBreak/>
        <w:t>Mujer trans: persona cuyo sexo asignado al nacer fue varón y se autoidentifica como mujer. Las mujeres trans pueden expresarse mediante su comportamiento, habla y estética con lo que usualmente se asigna a las mujeres en determinada sociedad o cultura (expresión de género). No necesariamente involucra la adecuación corporal mediante intervenciones quirúrgicas y/o hormonales.</w:t>
      </w:r>
    </w:p>
    <w:p w:rsidR="001519CE" w:rsidRDefault="001519CE" w:rsidP="001519CE">
      <w:pPr>
        <w:numPr>
          <w:ilvl w:val="0"/>
          <w:numId w:val="10"/>
        </w:numPr>
        <w:spacing w:before="240"/>
        <w:contextualSpacing/>
        <w:rPr>
          <w:rFonts w:eastAsia="Calibri" w:cs="Arial"/>
          <w:szCs w:val="20"/>
        </w:rPr>
      </w:pPr>
      <w:r w:rsidRPr="005E53AF">
        <w:rPr>
          <w:rFonts w:eastAsia="Calibri" w:cs="Arial"/>
          <w:szCs w:val="20"/>
        </w:rPr>
        <w:t>Travesti: las mujeres trans también pueden auto</w:t>
      </w:r>
      <w:r>
        <w:rPr>
          <w:rFonts w:eastAsia="Calibri" w:cs="Arial"/>
          <w:szCs w:val="20"/>
        </w:rPr>
        <w:t>r</w:t>
      </w:r>
      <w:r w:rsidRPr="005E53AF">
        <w:rPr>
          <w:rFonts w:eastAsia="Calibri" w:cs="Arial"/>
          <w:szCs w:val="20"/>
        </w:rPr>
        <w:t>reconocerse como travestis. En nuestro país el término implica además de una identidad de género, una acción militante a favor de los derechos de las personas trans.</w:t>
      </w:r>
    </w:p>
    <w:p w:rsidR="00A5587B" w:rsidRDefault="001E684E" w:rsidP="001E684E">
      <w:pPr>
        <w:spacing w:before="240" w:after="0"/>
        <w:rPr>
          <w:rFonts w:ascii="Calibri Light" w:eastAsia="Times New Roman" w:hAnsi="Calibri Light" w:cs="Times New Roman"/>
          <w:color w:val="2E74B5"/>
          <w:sz w:val="26"/>
          <w:szCs w:val="26"/>
        </w:rPr>
      </w:pPr>
      <w:r>
        <w:rPr>
          <w:rFonts w:ascii="Calibri Light" w:eastAsia="Times New Roman" w:hAnsi="Calibri Light" w:cs="Times New Roman"/>
          <w:color w:val="2E74B5"/>
          <w:sz w:val="26"/>
          <w:szCs w:val="26"/>
        </w:rPr>
        <w:t>Máximo nivel educativo alcanzado</w:t>
      </w:r>
      <w:bookmarkEnd w:id="2"/>
      <w:bookmarkEnd w:id="3"/>
    </w:p>
    <w:bookmarkEnd w:id="4"/>
    <w:p w:rsidR="001E684E" w:rsidRPr="006F2BE9" w:rsidRDefault="00A5587B" w:rsidP="001E684E">
      <w:pPr>
        <w:spacing w:before="240" w:after="0"/>
        <w:rPr>
          <w:rFonts w:eastAsia="Calibri" w:cs="Arial"/>
          <w:szCs w:val="20"/>
          <w:lang w:val="es-ES"/>
        </w:rPr>
      </w:pPr>
      <w:r>
        <w:rPr>
          <w:rFonts w:eastAsia="Calibri" w:cs="Arial"/>
          <w:szCs w:val="20"/>
        </w:rPr>
        <w:t>R</w:t>
      </w:r>
      <w:r w:rsidR="001E684E" w:rsidRPr="006F2BE9">
        <w:rPr>
          <w:rFonts w:eastAsia="Calibri" w:cs="Arial"/>
          <w:szCs w:val="20"/>
        </w:rPr>
        <w:t>efiere al máximo nivel de estudio</w:t>
      </w:r>
      <w:r w:rsidR="001E684E" w:rsidRPr="006F2BE9">
        <w:rPr>
          <w:rFonts w:eastAsia="Calibri" w:cs="Arial"/>
          <w:szCs w:val="20"/>
          <w:lang w:val="es-ES"/>
        </w:rPr>
        <w:t xml:space="preserve"> </w:t>
      </w:r>
      <w:hyperlink r:id="rId5" w:anchor="niveldeense%C3%B1anza" w:history="1">
        <w:r w:rsidR="001E684E" w:rsidRPr="006F2BE9">
          <w:rPr>
            <w:rFonts w:eastAsia="Calibri" w:cs="Arial"/>
            <w:szCs w:val="20"/>
          </w:rPr>
          <w:t>(nivel de enseñanza)</w:t>
        </w:r>
      </w:hyperlink>
      <w:r w:rsidR="001E684E" w:rsidRPr="006F2BE9">
        <w:rPr>
          <w:rFonts w:eastAsia="Calibri" w:cs="Arial"/>
          <w:szCs w:val="20"/>
          <w:lang w:val="es-ES"/>
        </w:rPr>
        <w:t xml:space="preserve"> </w:t>
      </w:r>
      <w:r w:rsidR="001E684E" w:rsidRPr="006F2BE9">
        <w:rPr>
          <w:rFonts w:eastAsia="Calibri" w:cs="Arial"/>
          <w:szCs w:val="20"/>
        </w:rPr>
        <w:t>de la población, ya sea completo o incompleto.</w:t>
      </w:r>
    </w:p>
    <w:p w:rsidR="001E684E" w:rsidRDefault="001E684E" w:rsidP="001E684E">
      <w:pPr>
        <w:spacing w:before="240"/>
        <w:rPr>
          <w:rFonts w:eastAsia="Calibri" w:cs="Arial"/>
          <w:szCs w:val="20"/>
        </w:rPr>
      </w:pPr>
      <w:r w:rsidRPr="006F2BE9">
        <w:rPr>
          <w:rFonts w:eastAsia="Calibri" w:cs="Arial"/>
          <w:b/>
          <w:szCs w:val="20"/>
          <w:lang w:val="es-ES"/>
        </w:rPr>
        <w:t xml:space="preserve">Nivel </w:t>
      </w:r>
      <w:r w:rsidRPr="006F2BE9">
        <w:rPr>
          <w:rFonts w:eastAsia="Calibri" w:cs="Arial"/>
          <w:b/>
          <w:szCs w:val="20"/>
        </w:rPr>
        <w:t>Primario</w:t>
      </w:r>
      <w:r w:rsidRPr="006F2BE9">
        <w:rPr>
          <w:rFonts w:eastAsia="Calibri" w:cs="Arial"/>
          <w:szCs w:val="20"/>
        </w:rPr>
        <w:t xml:space="preserve">: comprende los estudios destinados </w:t>
      </w:r>
      <w:r>
        <w:rPr>
          <w:rFonts w:eastAsia="Calibri" w:cs="Arial"/>
          <w:szCs w:val="20"/>
        </w:rPr>
        <w:t>a proporcionar los elementos básicos de educación que habilitan para inscribirse en el nivel secundario formal. Abarca los siguientes tipos de escuelas: las escuelas primarias comunes, escuelas hogares, escuelas en hospitales, escuelas carcelarias de educación primaria, para adultos y toda otra que imparte enseñanza elemental que habilite a pasar al nivel secundario.</w:t>
      </w:r>
    </w:p>
    <w:p w:rsidR="001E684E" w:rsidRPr="006F2BE9" w:rsidRDefault="001E684E" w:rsidP="001E684E">
      <w:pPr>
        <w:spacing w:before="240"/>
        <w:rPr>
          <w:rFonts w:eastAsia="Calibri" w:cs="Arial"/>
          <w:szCs w:val="20"/>
        </w:rPr>
      </w:pPr>
      <w:r w:rsidRPr="006F2BE9">
        <w:rPr>
          <w:rFonts w:eastAsia="Calibri" w:cs="Arial"/>
          <w:b/>
          <w:szCs w:val="20"/>
          <w:lang w:val="es-ES"/>
        </w:rPr>
        <w:t xml:space="preserve">Nivel </w:t>
      </w:r>
      <w:r w:rsidRPr="006F2BE9">
        <w:rPr>
          <w:rFonts w:eastAsia="Calibri" w:cs="Arial"/>
          <w:b/>
          <w:szCs w:val="20"/>
        </w:rPr>
        <w:t>Secundario</w:t>
      </w:r>
      <w:r w:rsidRPr="006F2BE9">
        <w:rPr>
          <w:rFonts w:eastAsia="Calibri" w:cs="Arial"/>
          <w:szCs w:val="20"/>
        </w:rPr>
        <w:t>: comprende los estudios que se dictan en escuelas secundarias públicas o privadas con reconocimiento oficial y cuya finalización habilita para cursar el nivel superior (terciario o universitario). Las modalidades del nivel secundario consideradas en esta categoría son: colegios nacionales, liceos, bachilleratos (especializados o no; incluye bachilleratos populares), escuelas de comercio, normales donde se dictan el nivel medio o secundario. Se incluyen también las escuelas técnicas, las escuelas artísticas públicas o privadas con reconocimiento oficial y los institutos de enseñanza media especializadas tales como el Liceo Militar, Liceo Naval, escuelas de policía y bomberos, escuelas penitenciarias, escuelas de suboficiales de las Fuerzas Armadas, etc.</w:t>
      </w:r>
    </w:p>
    <w:p w:rsidR="001E684E" w:rsidRDefault="001E684E" w:rsidP="001E684E">
      <w:pPr>
        <w:spacing w:before="240"/>
        <w:rPr>
          <w:rFonts w:cs="Arial"/>
          <w:szCs w:val="20"/>
        </w:rPr>
      </w:pPr>
      <w:r w:rsidRPr="006F2BE9">
        <w:rPr>
          <w:rFonts w:cs="Arial"/>
          <w:b/>
          <w:szCs w:val="20"/>
          <w:lang w:val="es-ES"/>
        </w:rPr>
        <w:t xml:space="preserve">Nivel </w:t>
      </w:r>
      <w:r w:rsidRPr="006F2BE9">
        <w:rPr>
          <w:rFonts w:cs="Arial"/>
          <w:b/>
          <w:szCs w:val="20"/>
        </w:rPr>
        <w:t>Terciario o superior no universitario</w:t>
      </w:r>
      <w:r w:rsidRPr="006F2BE9">
        <w:rPr>
          <w:rFonts w:cs="Arial"/>
          <w:szCs w:val="20"/>
        </w:rPr>
        <w:t xml:space="preserve">: comprende la educación superior no universitaria que se imparte en instituciones </w:t>
      </w:r>
      <w:r>
        <w:rPr>
          <w:rFonts w:cs="Arial"/>
          <w:szCs w:val="20"/>
        </w:rPr>
        <w:t>con reconocimiento oficial que requieren haber completado el nivel medio o secundario para ingresar. Son los cursos oficiales de ingreso al nivel terciario no universitario, los profesorados de jardín de infantes, de enseñanza primaria, de adultos, de enseñanza especial (sordomudos, ciegos, etc.) y de enseñanza secundaria (educación física, matemática, historia, idiomas, etc.). Comprende también especialidades no docentes. (Ejemplos: cursos para graduados de escuelas industriales, técnica industrial, periodismo, turismo, computación, bibliotecarios y museos, bellas artes, etc.)</w:t>
      </w:r>
      <w:r>
        <w:rPr>
          <w:rFonts w:cs="Arial"/>
          <w:szCs w:val="20"/>
          <w:lang w:val="es-ES"/>
        </w:rPr>
        <w:t>.</w:t>
      </w:r>
      <w:r>
        <w:rPr>
          <w:rFonts w:cs="Arial"/>
          <w:szCs w:val="20"/>
        </w:rPr>
        <w:t xml:space="preserve"> </w:t>
      </w:r>
    </w:p>
    <w:p w:rsidR="001E684E" w:rsidRDefault="001E684E" w:rsidP="001E684E">
      <w:pPr>
        <w:rPr>
          <w:rFonts w:cs="Arial"/>
          <w:szCs w:val="20"/>
        </w:rPr>
      </w:pPr>
      <w:r w:rsidRPr="006F2BE9">
        <w:rPr>
          <w:rFonts w:cs="Arial"/>
          <w:b/>
          <w:szCs w:val="20"/>
          <w:lang w:val="es-ES"/>
        </w:rPr>
        <w:t xml:space="preserve">Nivel </w:t>
      </w:r>
      <w:r w:rsidRPr="006F2BE9">
        <w:rPr>
          <w:rFonts w:cs="Arial"/>
          <w:b/>
          <w:szCs w:val="20"/>
        </w:rPr>
        <w:t>Universitario y más</w:t>
      </w:r>
      <w:r w:rsidRPr="006F2BE9">
        <w:rPr>
          <w:rFonts w:cs="Arial"/>
          <w:szCs w:val="20"/>
        </w:rPr>
        <w:t>: estudios que se realizan en las universidades públicas (nacionales, provinciales o regionales) y privadas. Comprende exclusivamente las carreras que otorgan título de grado: medicina, abogacía, contaduría, letras, economía, sociología, ingeniería, etc. Y estudios de posgrado que se realizan en las universidades públicas y privadas que exigen haber obtenido previamente un título universitario de grado, como maestrías y doctorados</w:t>
      </w:r>
      <w:r>
        <w:rPr>
          <w:rFonts w:cs="Arial"/>
          <w:szCs w:val="20"/>
        </w:rPr>
        <w:t>.</w:t>
      </w:r>
    </w:p>
    <w:p w:rsidR="001E684E" w:rsidRDefault="001E684E" w:rsidP="001E684E">
      <w:pPr>
        <w:rPr>
          <w:rFonts w:ascii="Calibri Light" w:eastAsia="Times New Roman" w:hAnsi="Calibri Light" w:cs="Times New Roman"/>
          <w:color w:val="2E74B5"/>
          <w:sz w:val="26"/>
          <w:szCs w:val="26"/>
        </w:rPr>
      </w:pPr>
      <w:bookmarkStart w:id="6" w:name="MOD"/>
      <w:r>
        <w:rPr>
          <w:rFonts w:ascii="Calibri Light" w:eastAsia="Times New Roman" w:hAnsi="Calibri Light" w:cs="Times New Roman"/>
          <w:color w:val="2E74B5"/>
          <w:sz w:val="26"/>
          <w:szCs w:val="26"/>
        </w:rPr>
        <w:t xml:space="preserve">Modalidad de trabajo </w:t>
      </w:r>
    </w:p>
    <w:bookmarkEnd w:id="6"/>
    <w:p w:rsidR="001E684E" w:rsidRDefault="001E684E" w:rsidP="001E684E">
      <w:pPr>
        <w:rPr>
          <w:rFonts w:cs="Arial"/>
          <w:szCs w:val="20"/>
        </w:rPr>
      </w:pPr>
      <w:r>
        <w:rPr>
          <w:rFonts w:cs="Arial"/>
          <w:b/>
          <w:szCs w:val="20"/>
        </w:rPr>
        <w:t>Relación de dependencia:</w:t>
      </w:r>
      <w:r>
        <w:rPr>
          <w:rFonts w:cs="Arial"/>
          <w:szCs w:val="20"/>
        </w:rPr>
        <w:t xml:space="preserve"> personal que pertenece a la planta permanente o transitoria Se considera que estuvo ocupada toda persona que realizó alguna actividad laboral o trabajo. El mínimo de una hora de trabajo solicitado refiere a cualquiera de las ocupaciones que pudiera tener.</w:t>
      </w:r>
    </w:p>
    <w:p w:rsidR="001E684E" w:rsidRDefault="001E684E" w:rsidP="001E684E">
      <w:pPr>
        <w:spacing w:before="240"/>
        <w:rPr>
          <w:rFonts w:cs="Arial"/>
          <w:szCs w:val="20"/>
        </w:rPr>
      </w:pPr>
      <w:r>
        <w:rPr>
          <w:rFonts w:cs="Arial"/>
          <w:b/>
          <w:szCs w:val="20"/>
        </w:rPr>
        <w:t xml:space="preserve">Monotributista: </w:t>
      </w:r>
      <w:r>
        <w:rPr>
          <w:rFonts w:cs="Arial"/>
          <w:szCs w:val="20"/>
        </w:rPr>
        <w:t xml:space="preserve">personal contratado y/o que factura mensualmente sus honorarios. Están adheridas al régimen de monotributo para pequeños contribuyentes de la ARCA. </w:t>
      </w:r>
    </w:p>
    <w:p w:rsidR="001E684E" w:rsidRDefault="001E684E" w:rsidP="001E684E">
      <w:pPr>
        <w:rPr>
          <w:rFonts w:cs="Arial"/>
          <w:szCs w:val="20"/>
        </w:rPr>
      </w:pPr>
      <w:r>
        <w:rPr>
          <w:rFonts w:cs="Arial"/>
          <w:b/>
          <w:szCs w:val="20"/>
        </w:rPr>
        <w:t>Voluntarios/as:</w:t>
      </w:r>
      <w:r>
        <w:rPr>
          <w:rFonts w:cs="Arial"/>
          <w:szCs w:val="20"/>
        </w:rPr>
        <w:t xml:space="preserve"> carecen de remuneración, llevan a cabo sus tareas voluntariamente y sin coacción.</w:t>
      </w:r>
    </w:p>
    <w:p w:rsidR="001E684E" w:rsidRDefault="001E684E" w:rsidP="001E684E">
      <w:pPr>
        <w:rPr>
          <w:rFonts w:cs="Arial"/>
          <w:szCs w:val="20"/>
        </w:rPr>
      </w:pPr>
      <w:r>
        <w:rPr>
          <w:rFonts w:cs="Arial"/>
          <w:b/>
          <w:szCs w:val="20"/>
        </w:rPr>
        <w:lastRenderedPageBreak/>
        <w:t>Ad honorem:</w:t>
      </w:r>
      <w:r>
        <w:rPr>
          <w:rFonts w:cs="Arial"/>
          <w:szCs w:val="20"/>
        </w:rPr>
        <w:t xml:space="preserve"> los/as trabajadores ocupan un puesto de trabajo, tienen un vínculo formal con un establecimiento, producen bienes y/o servicios dentro de esa relación de mercado (participan activamente en las actividades productivas del establecimiento) aunque no hayan percibido remuneración alguna. • Ejemplos: ayudantías ad-honorem, pasantías, etc.</w:t>
      </w:r>
    </w:p>
    <w:p w:rsidR="001519CE" w:rsidRDefault="001E684E" w:rsidP="001E684E">
      <w:pPr>
        <w:rPr>
          <w:rFonts w:ascii="Calibri Light" w:eastAsia="Times New Roman" w:hAnsi="Calibri Light" w:cs="Times New Roman"/>
          <w:color w:val="2E74B5"/>
          <w:sz w:val="26"/>
          <w:szCs w:val="26"/>
        </w:rPr>
      </w:pPr>
      <w:bookmarkStart w:id="7" w:name="MEXCEP"/>
      <w:r>
        <w:rPr>
          <w:rFonts w:ascii="Calibri Light" w:eastAsia="Times New Roman" w:hAnsi="Calibri Light" w:cs="Times New Roman"/>
          <w:color w:val="2E74B5"/>
          <w:sz w:val="26"/>
          <w:szCs w:val="26"/>
        </w:rPr>
        <w:t>Medida excepcional</w:t>
      </w:r>
      <w:bookmarkEnd w:id="7"/>
    </w:p>
    <w:p w:rsidR="001E684E" w:rsidRDefault="001519CE" w:rsidP="001E684E">
      <w:pPr>
        <w:rPr>
          <w:rFonts w:cs="Arial"/>
          <w:szCs w:val="20"/>
        </w:rPr>
      </w:pPr>
      <w:r>
        <w:rPr>
          <w:rFonts w:cs="Arial"/>
          <w:szCs w:val="20"/>
        </w:rPr>
        <w:t>S</w:t>
      </w:r>
      <w:r w:rsidR="001E684E">
        <w:rPr>
          <w:rFonts w:cs="Arial"/>
          <w:szCs w:val="20"/>
        </w:rPr>
        <w:t>e adopta cuando las niñas, niños y adolescentes estuvieran temporal o permanentemente privados de su medio familiar o cuyo superior interés exija que no permanezcan en ese medio. Tiene</w:t>
      </w:r>
      <w:r w:rsidR="001E684E">
        <w:rPr>
          <w:rFonts w:cs="Arial"/>
          <w:color w:val="FF0000"/>
          <w:szCs w:val="20"/>
        </w:rPr>
        <w:t xml:space="preserve"> </w:t>
      </w:r>
      <w:r w:rsidR="001E684E">
        <w:rPr>
          <w:rFonts w:cs="Arial"/>
          <w:szCs w:val="20"/>
        </w:rPr>
        <w:t>como objetivo la conservación o recuperación por parte del sujeto del ejercicio y goce de sus derechos vulnerados y la reparación de sus consecuencias. Estas medidas son limitadas en el tiempo y sólo se pueden prolongar mientras persistan las causas que les dieron origen.</w:t>
      </w:r>
    </w:p>
    <w:p w:rsidR="001519CE" w:rsidRDefault="001519CE" w:rsidP="001E684E">
      <w:pPr>
        <w:rPr>
          <w:rFonts w:cs="Arial"/>
          <w:szCs w:val="20"/>
        </w:rPr>
      </w:pPr>
      <w:bookmarkStart w:id="8" w:name="MEDJUD"/>
      <w:r w:rsidRPr="00FF11D9">
        <w:rPr>
          <w:rFonts w:ascii="Calibri Light" w:eastAsia="Times New Roman" w:hAnsi="Calibri Light" w:cs="Times New Roman"/>
          <w:color w:val="2E74B5"/>
          <w:sz w:val="26"/>
          <w:szCs w:val="26"/>
        </w:rPr>
        <w:t>Medida judicial de no innovar</w:t>
      </w:r>
      <w:r>
        <w:rPr>
          <w:rFonts w:ascii="Calibri" w:eastAsia="Times New Roman" w:hAnsi="Calibri" w:cs="Times New Roman"/>
          <w:color w:val="000000"/>
          <w:sz w:val="24"/>
          <w:szCs w:val="24"/>
          <w:lang w:eastAsia="es-AR"/>
        </w:rPr>
        <w:t xml:space="preserve"> </w:t>
      </w:r>
      <w:bookmarkEnd w:id="8"/>
      <w:r w:rsidRPr="001519CE">
        <w:rPr>
          <w:rFonts w:cs="Arial"/>
          <w:szCs w:val="20"/>
        </w:rPr>
        <w:t>(continuidad de med</w:t>
      </w:r>
      <w:r>
        <w:rPr>
          <w:rFonts w:cs="Arial"/>
          <w:szCs w:val="20"/>
        </w:rPr>
        <w:t xml:space="preserve">ida excepcional) </w:t>
      </w:r>
    </w:p>
    <w:p w:rsidR="001519CE" w:rsidRDefault="001519CE" w:rsidP="001E684E">
      <w:pPr>
        <w:rPr>
          <w:rFonts w:cs="Arial"/>
          <w:szCs w:val="20"/>
        </w:rPr>
      </w:pPr>
      <w:r>
        <w:rPr>
          <w:rFonts w:cs="Arial"/>
          <w:szCs w:val="20"/>
        </w:rPr>
        <w:t>Medida precau</w:t>
      </w:r>
      <w:r w:rsidRPr="00FF11D9">
        <w:rPr>
          <w:rFonts w:cs="Arial"/>
          <w:szCs w:val="20"/>
        </w:rPr>
        <w:t>toria declarada en sede judicial una vez vencidos los 180 días previstos en las medidas excepcionales adoptadas previamente, la cual tiene por objetivo sostener el alojamiento del NNA en el dispositivo en donde se encuentre (sea este un hogar en cualquiera de sus modalidades y/o familia de acogimiento), hasta tanto se resuelva su situación judicial, en aquellos casos en donde no resulta posible su retorno con su familia de origen y/o ampliada, así como tampoco se ha decidido en relación a</w:t>
      </w:r>
      <w:r>
        <w:rPr>
          <w:rFonts w:cs="Arial"/>
          <w:szCs w:val="20"/>
        </w:rPr>
        <w:t xml:space="preserve"> su situación de adoptabilidad.</w:t>
      </w:r>
    </w:p>
    <w:p w:rsidR="00BD5957" w:rsidRPr="00BD5957" w:rsidRDefault="00BD5957" w:rsidP="001E684E">
      <w:pPr>
        <w:rPr>
          <w:rFonts w:ascii="Calibri Light" w:eastAsia="Times New Roman" w:hAnsi="Calibri Light" w:cs="Times New Roman"/>
          <w:color w:val="2E74B5"/>
          <w:sz w:val="26"/>
          <w:szCs w:val="26"/>
        </w:rPr>
      </w:pPr>
      <w:bookmarkStart w:id="9" w:name="MEDPENALJ"/>
      <w:r w:rsidRPr="00BD5957">
        <w:rPr>
          <w:rFonts w:ascii="Calibri Light" w:eastAsia="Times New Roman" w:hAnsi="Calibri Light" w:cs="Times New Roman"/>
          <w:color w:val="2E74B5"/>
          <w:sz w:val="26"/>
          <w:szCs w:val="26"/>
        </w:rPr>
        <w:t xml:space="preserve">Medida Penal Juvenil </w:t>
      </w:r>
      <w:bookmarkEnd w:id="9"/>
    </w:p>
    <w:p w:rsidR="00BD5957" w:rsidRDefault="00BD5957" w:rsidP="001E684E">
      <w:pPr>
        <w:rPr>
          <w:rFonts w:cs="Arial"/>
          <w:szCs w:val="20"/>
        </w:rPr>
      </w:pPr>
      <w:r>
        <w:rPr>
          <w:rFonts w:cs="Arial"/>
          <w:szCs w:val="20"/>
          <w:lang w:val="es-ES"/>
        </w:rPr>
        <w:t>E</w:t>
      </w:r>
      <w:r w:rsidRPr="00BD5957">
        <w:rPr>
          <w:rFonts w:cs="Arial"/>
          <w:szCs w:val="20"/>
          <w:lang w:val="es-ES"/>
        </w:rPr>
        <w:t>s una decisión procesal dispuesta por juzgados o tribunales con competencia penal, para un/a adolescente menor de 18 años de edad y/o para un/a joven de hasta 21 años de edad ante la infracción o la presunta infracción a la ley penal. La medida penal juvenil se cumple en los siguientes dispositivos penales juveniles: dispositivo de medidas penales en territorio; establecimientos de restricción de libertad y establecimientos de privación de libertad</w:t>
      </w:r>
    </w:p>
    <w:p w:rsidR="00B81BC0" w:rsidRDefault="001E684E" w:rsidP="001E684E">
      <w:pPr>
        <w:rPr>
          <w:rFonts w:cs="Arial"/>
          <w:szCs w:val="20"/>
        </w:rPr>
      </w:pPr>
      <w:bookmarkStart w:id="10" w:name="NNAINST"/>
      <w:r>
        <w:rPr>
          <w:rFonts w:ascii="Calibri Light" w:eastAsia="Times New Roman" w:hAnsi="Calibri Light" w:cs="Times New Roman"/>
          <w:color w:val="2E74B5"/>
          <w:sz w:val="26"/>
          <w:szCs w:val="26"/>
        </w:rPr>
        <w:t>Niña, Niño o Adolescente institucionalizado</w:t>
      </w:r>
      <w:bookmarkEnd w:id="10"/>
      <w:r>
        <w:rPr>
          <w:rFonts w:cs="Arial"/>
          <w:szCs w:val="20"/>
        </w:rPr>
        <w:t xml:space="preserve"> </w:t>
      </w:r>
    </w:p>
    <w:p w:rsidR="001E684E" w:rsidRDefault="001E684E" w:rsidP="001E684E">
      <w:pPr>
        <w:rPr>
          <w:rFonts w:cs="Arial"/>
          <w:szCs w:val="20"/>
        </w:rPr>
      </w:pPr>
      <w:r w:rsidRPr="006F2BE9">
        <w:rPr>
          <w:rFonts w:cs="Arial"/>
          <w:szCs w:val="20"/>
        </w:rPr>
        <w:t>NN</w:t>
      </w:r>
      <w:r w:rsidRPr="006F2BE9">
        <w:rPr>
          <w:rFonts w:cs="Arial"/>
          <w:szCs w:val="20"/>
          <w:lang w:val="es-ES"/>
        </w:rPr>
        <w:t>y</w:t>
      </w:r>
      <w:r w:rsidRPr="006F2BE9">
        <w:rPr>
          <w:rFonts w:cs="Arial"/>
          <w:szCs w:val="20"/>
        </w:rPr>
        <w:t xml:space="preserve">A sobre el cual se ha dictado una medida excepcional de derechos en los términos del art. 39 de la Ley 26061 </w:t>
      </w:r>
      <w:r>
        <w:rPr>
          <w:rFonts w:cs="Arial"/>
          <w:szCs w:val="20"/>
        </w:rPr>
        <w:t>o con vigencia de una medida judicial de no innovar que determina su permanencia en un hogar en cualquiera de sus modalidades y/o familia de acogimiento.</w:t>
      </w:r>
    </w:p>
    <w:p w:rsidR="00AC4062" w:rsidRDefault="00AC4062" w:rsidP="001E684E">
      <w:pPr>
        <w:rPr>
          <w:rFonts w:ascii="Calibri Light" w:eastAsia="Times New Roman" w:hAnsi="Calibri Light" w:cs="Times New Roman"/>
          <w:color w:val="2E74B5"/>
          <w:sz w:val="26"/>
          <w:szCs w:val="26"/>
        </w:rPr>
      </w:pPr>
      <w:bookmarkStart w:id="11" w:name="Pension"/>
      <w:bookmarkStart w:id="12" w:name="residente"/>
      <w:r w:rsidRPr="00505081">
        <w:rPr>
          <w:rFonts w:ascii="Calibri Light" w:eastAsia="Times New Roman" w:hAnsi="Calibri Light" w:cs="Times New Roman"/>
          <w:color w:val="2E74B5"/>
          <w:sz w:val="26"/>
          <w:szCs w:val="26"/>
        </w:rPr>
        <w:t>Pensión no contributiva</w:t>
      </w:r>
      <w:bookmarkEnd w:id="11"/>
    </w:p>
    <w:p w:rsidR="00AC4062" w:rsidRDefault="00AC4062" w:rsidP="001E684E">
      <w:pPr>
        <w:rPr>
          <w:rFonts w:eastAsia="Calibri" w:cs="Arial"/>
          <w:szCs w:val="20"/>
        </w:rPr>
      </w:pPr>
      <w:r>
        <w:rPr>
          <w:rFonts w:eastAsia="Calibri" w:cs="Arial"/>
          <w:szCs w:val="20"/>
        </w:rPr>
        <w:t>S</w:t>
      </w:r>
      <w:r w:rsidRPr="00A47DE2">
        <w:rPr>
          <w:rFonts w:eastAsia="Calibri" w:cs="Arial"/>
          <w:szCs w:val="20"/>
        </w:rPr>
        <w:t>on una herramienta establecida por ley para acompañar a grupos vulnerables o especiales.</w:t>
      </w:r>
      <w:r w:rsidRPr="00505081">
        <w:rPr>
          <w:rFonts w:eastAsia="Calibri" w:cs="Arial"/>
          <w:szCs w:val="20"/>
        </w:rPr>
        <w:t xml:space="preserve">es una suma de dinero que pueden cobrar mensualmente las personas que tienen problemas de salud o se encuentran en situación de vulnerabilidad social. Se llama no contributiva porque </w:t>
      </w:r>
      <w:r>
        <w:rPr>
          <w:rFonts w:eastAsia="Calibri" w:cs="Arial"/>
          <w:szCs w:val="20"/>
        </w:rPr>
        <w:t>se cobra,</w:t>
      </w:r>
      <w:r w:rsidRPr="00505081">
        <w:rPr>
          <w:rFonts w:eastAsia="Calibri" w:cs="Arial"/>
          <w:szCs w:val="20"/>
        </w:rPr>
        <w:t xml:space="preserve"> aunque </w:t>
      </w:r>
      <w:r>
        <w:rPr>
          <w:rFonts w:eastAsia="Calibri" w:cs="Arial"/>
          <w:szCs w:val="20"/>
        </w:rPr>
        <w:t xml:space="preserve">la persona no haya </w:t>
      </w:r>
      <w:r w:rsidRPr="00505081">
        <w:rPr>
          <w:rFonts w:eastAsia="Calibri" w:cs="Arial"/>
          <w:szCs w:val="20"/>
        </w:rPr>
        <w:t>hecho aportes</w:t>
      </w:r>
      <w:r>
        <w:rPr>
          <w:rFonts w:eastAsia="Calibri" w:cs="Arial"/>
          <w:szCs w:val="20"/>
        </w:rPr>
        <w:t>.</w:t>
      </w:r>
    </w:p>
    <w:p w:rsidR="00E86F79" w:rsidRPr="00E86F79" w:rsidRDefault="00E86F79" w:rsidP="001E684E">
      <w:pPr>
        <w:rPr>
          <w:rFonts w:ascii="Calibri Light" w:eastAsia="Times New Roman" w:hAnsi="Calibri Light" w:cs="Times New Roman"/>
          <w:color w:val="2E74B5"/>
          <w:sz w:val="26"/>
          <w:szCs w:val="26"/>
        </w:rPr>
      </w:pPr>
      <w:r w:rsidRPr="00E86F79">
        <w:rPr>
          <w:rFonts w:ascii="Calibri Light" w:eastAsia="Times New Roman" w:hAnsi="Calibri Light" w:cs="Times New Roman"/>
          <w:color w:val="2E74B5"/>
          <w:sz w:val="26"/>
          <w:szCs w:val="26"/>
        </w:rPr>
        <w:t>Personal</w:t>
      </w:r>
    </w:p>
    <w:p w:rsidR="00E86F79" w:rsidRDefault="00E86F79" w:rsidP="001E684E">
      <w:pPr>
        <w:rPr>
          <w:rFonts w:cs="Arial"/>
          <w:szCs w:val="20"/>
        </w:rPr>
      </w:pPr>
      <w:r w:rsidRPr="00E86F79">
        <w:rPr>
          <w:rFonts w:cs="Arial"/>
          <w:szCs w:val="20"/>
        </w:rPr>
        <w:t xml:space="preserve">Son las personas que trabajan en el establecimiento en forma permanente, que hayan trabajado, por lo </w:t>
      </w:r>
      <w:bookmarkStart w:id="13" w:name="Volvermes"/>
      <w:bookmarkEnd w:id="13"/>
      <w:r w:rsidRPr="00E86F79">
        <w:rPr>
          <w:rFonts w:cs="Arial"/>
          <w:szCs w:val="20"/>
        </w:rPr>
        <w:t>menos, una hora en el último.</w:t>
      </w:r>
      <w:r>
        <w:rPr>
          <w:rFonts w:cs="Arial"/>
          <w:szCs w:val="20"/>
        </w:rPr>
        <w:t xml:space="preserve"> No incluye al personal terce</w:t>
      </w:r>
      <w:r w:rsidRPr="00E86F79">
        <w:rPr>
          <w:rFonts w:cs="Arial"/>
          <w:szCs w:val="20"/>
        </w:rPr>
        <w:t>rizado perteneciente a una empresa subcontratada, por ejemplo, las personas que trabajan en un servicio de limpieza o traslado y que percibe su salario a través de esa empresa</w:t>
      </w:r>
      <w:r w:rsidR="00A5587B">
        <w:rPr>
          <w:rFonts w:cs="Arial"/>
          <w:szCs w:val="20"/>
        </w:rPr>
        <w:t>.</w:t>
      </w:r>
    </w:p>
    <w:p w:rsidR="00A5587B" w:rsidRDefault="00A5587B" w:rsidP="00A5587B">
      <w:pPr>
        <w:rPr>
          <w:rFonts w:ascii="Calibri Light" w:eastAsia="Times New Roman" w:hAnsi="Calibri Light" w:cs="Times New Roman"/>
          <w:color w:val="2E74B5"/>
          <w:sz w:val="26"/>
          <w:szCs w:val="26"/>
        </w:rPr>
      </w:pPr>
      <w:r>
        <w:rPr>
          <w:rFonts w:ascii="Calibri Light" w:eastAsia="Times New Roman" w:hAnsi="Calibri Light" w:cs="Times New Roman"/>
          <w:color w:val="2E74B5"/>
          <w:sz w:val="26"/>
          <w:szCs w:val="26"/>
        </w:rPr>
        <w:t>Programa de Acompañamiento para Egreso (PAE)</w:t>
      </w:r>
    </w:p>
    <w:p w:rsidR="00A5587B" w:rsidRDefault="00A5587B" w:rsidP="00A5587B">
      <w:pPr>
        <w:rPr>
          <w:rFonts w:cs="Arial"/>
          <w:szCs w:val="20"/>
        </w:rPr>
      </w:pPr>
      <w:r>
        <w:rPr>
          <w:rStyle w:val="Normal1Car"/>
        </w:rPr>
        <w:t>S</w:t>
      </w:r>
      <w:r w:rsidRPr="00595648">
        <w:rPr>
          <w:rStyle w:val="Normal1Car"/>
        </w:rPr>
        <w:t>e propone acompañar los procesos de egreso autónomo y fortalecer las oportunidades de integración socio-educativo-laborales de adolescentes y jóvenes. Este programa está dirigido a adolescentes y jóvenes sin cuidados parentales de 13 a 21 años de edad (extensible hasta los 25 años si estudian o se capacitan), que provienen de dispositivos de cuidado, y tengan o hayan tenido una medida de protección excepcional. El acceso al programa es voluntario y se encuentra asociado al reconocimiento de su autonomía progresiva y de su derecho a la participación</w:t>
      </w:r>
      <w:r>
        <w:rPr>
          <w:rStyle w:val="Normal1Car"/>
        </w:rPr>
        <w:t>.</w:t>
      </w:r>
    </w:p>
    <w:p w:rsidR="00B81BC0" w:rsidRDefault="001E684E" w:rsidP="001E684E">
      <w:pPr>
        <w:rPr>
          <w:rFonts w:ascii="Calibri Light" w:eastAsia="Times New Roman" w:hAnsi="Calibri Light" w:cs="Times New Roman"/>
          <w:color w:val="2E74B5"/>
          <w:sz w:val="26"/>
          <w:szCs w:val="26"/>
        </w:rPr>
      </w:pPr>
      <w:r>
        <w:rPr>
          <w:rFonts w:ascii="Calibri Light" w:eastAsia="Times New Roman" w:hAnsi="Calibri Light" w:cs="Times New Roman"/>
          <w:color w:val="2E74B5"/>
          <w:sz w:val="26"/>
          <w:szCs w:val="26"/>
        </w:rPr>
        <w:lastRenderedPageBreak/>
        <w:t>Residente</w:t>
      </w:r>
      <w:bookmarkEnd w:id="12"/>
    </w:p>
    <w:p w:rsidR="001E684E" w:rsidRDefault="00B81BC0" w:rsidP="001E684E">
      <w:pPr>
        <w:rPr>
          <w:rFonts w:eastAsia="Arial MT" w:cs="Arial"/>
          <w:szCs w:val="20"/>
        </w:rPr>
      </w:pPr>
      <w:r>
        <w:rPr>
          <w:rFonts w:eastAsia="Arial MT" w:cs="Arial"/>
          <w:szCs w:val="20"/>
        </w:rPr>
        <w:t>P</w:t>
      </w:r>
      <w:r w:rsidR="001E684E">
        <w:rPr>
          <w:rFonts w:eastAsia="Arial MT" w:cs="Arial"/>
          <w:szCs w:val="20"/>
        </w:rPr>
        <w:t>ersona que se aloja y pernocta en el establecimiento donde se alimenta y desarrolla sus actividades. Se consideró para este censo a la persona que ocupa una cama, al menos una noche, en la semana calendario (domingo a sábado).</w:t>
      </w:r>
    </w:p>
    <w:p w:rsidR="00B81BC0" w:rsidRDefault="001E684E" w:rsidP="001E684E">
      <w:pPr>
        <w:rPr>
          <w:rFonts w:ascii="Calibri" w:eastAsia="Calibri" w:hAnsi="Calibri" w:cs="Times New Roman"/>
        </w:rPr>
      </w:pPr>
      <w:bookmarkStart w:id="14" w:name="Sexo"/>
      <w:r>
        <w:rPr>
          <w:rFonts w:ascii="Calibri Light" w:eastAsia="Times New Roman" w:hAnsi="Calibri Light" w:cs="Times New Roman"/>
          <w:color w:val="2E74B5"/>
          <w:sz w:val="26"/>
          <w:szCs w:val="26"/>
        </w:rPr>
        <w:t>Sexo registrado en el DNI</w:t>
      </w:r>
      <w:bookmarkEnd w:id="14"/>
    </w:p>
    <w:p w:rsidR="001E684E" w:rsidRDefault="00B81BC0" w:rsidP="001E684E">
      <w:pPr>
        <w:rPr>
          <w:rFonts w:eastAsia="Calibri" w:cs="Arial"/>
          <w:szCs w:val="20"/>
        </w:rPr>
      </w:pPr>
      <w:r>
        <w:rPr>
          <w:rFonts w:eastAsia="Calibri" w:cs="Arial"/>
          <w:szCs w:val="20"/>
        </w:rPr>
        <w:t>R</w:t>
      </w:r>
      <w:r w:rsidR="001E684E">
        <w:rPr>
          <w:rFonts w:eastAsia="Calibri" w:cs="Arial"/>
          <w:szCs w:val="20"/>
        </w:rPr>
        <w:t xml:space="preserve">efiere al sexo tal como figura en el Documento Nacional de Identidad (DNI), según el Decreto 476/2021. </w:t>
      </w:r>
      <w:r w:rsidR="001E684E" w:rsidRPr="006F2BE9">
        <w:rPr>
          <w:rFonts w:eastAsia="Calibri" w:cs="Arial"/>
          <w:szCs w:val="20"/>
        </w:rPr>
        <w:t xml:space="preserve">Las categorías varón y </w:t>
      </w:r>
      <w:r w:rsidR="001E684E">
        <w:rPr>
          <w:rFonts w:eastAsia="Calibri" w:cs="Arial"/>
          <w:szCs w:val="20"/>
        </w:rPr>
        <w:t>mujer</w:t>
      </w:r>
      <w:r w:rsidR="001E684E" w:rsidRPr="006F2BE9">
        <w:rPr>
          <w:rFonts w:eastAsia="Calibri" w:cs="Arial"/>
          <w:szCs w:val="20"/>
        </w:rPr>
        <w:t xml:space="preserve"> incluyen a las personas que nacen con características anatómicas, genéticas y hormonales definidas como masculinas y como femeninas respectivamente</w:t>
      </w:r>
      <w:r w:rsidR="001E684E" w:rsidRPr="006F2BE9">
        <w:rPr>
          <w:rFonts w:eastAsia="Calibri" w:cs="Arial"/>
          <w:szCs w:val="20"/>
          <w:lang w:val="es-ES"/>
        </w:rPr>
        <w:t>,</w:t>
      </w:r>
      <w:r w:rsidR="001E684E" w:rsidRPr="006F2BE9">
        <w:rPr>
          <w:rFonts w:eastAsia="Calibri" w:cs="Arial"/>
          <w:szCs w:val="20"/>
        </w:rPr>
        <w:t xml:space="preserve"> y que además su identificación </w:t>
      </w:r>
      <w:r w:rsidR="001E684E">
        <w:rPr>
          <w:rFonts w:eastAsia="Calibri" w:cs="Arial"/>
          <w:szCs w:val="20"/>
        </w:rPr>
        <w:t xml:space="preserve">de género se corresponde con estas características, es decir, en referencia a su identidad de género son varones </w:t>
      </w:r>
      <w:r w:rsidR="001E684E">
        <w:rPr>
          <w:rFonts w:eastAsia="Calibri" w:cs="Arial"/>
          <w:i/>
          <w:szCs w:val="20"/>
        </w:rPr>
        <w:t>cis</w:t>
      </w:r>
      <w:r w:rsidR="001E684E">
        <w:rPr>
          <w:rFonts w:eastAsia="Calibri" w:cs="Arial"/>
          <w:szCs w:val="20"/>
        </w:rPr>
        <w:t xml:space="preserve"> y mujeres </w:t>
      </w:r>
      <w:r w:rsidR="001E684E">
        <w:rPr>
          <w:rFonts w:eastAsia="Calibri" w:cs="Arial"/>
          <w:i/>
          <w:szCs w:val="20"/>
        </w:rPr>
        <w:t>cis</w:t>
      </w:r>
      <w:r w:rsidR="001E684E">
        <w:rPr>
          <w:rFonts w:eastAsia="Calibri" w:cs="Arial"/>
          <w:szCs w:val="20"/>
        </w:rPr>
        <w:t>. También puede incluir a personas trans que se registraron como varón o mujer con anterioridad al Decreto 476/2021. La categoría X refiere a las personas cuya identidad de género se encuentra comprendida en opciones que no se corresponden con la definición binaria femenino/masculino. Esta categoría incluye a personas intersexuales (nacen con características anatómicas y/o genéticas y/o hormonales que no se corresponden a las definiciones de Mujer/Varón) y a todas aquellas personas que se identifican como trans (varón trans, mujer trans, travesti) u otra identidad no binaria.</w:t>
      </w:r>
      <w:bookmarkStart w:id="15" w:name="_GoBack"/>
      <w:bookmarkEnd w:id="15"/>
    </w:p>
    <w:sectPr w:rsidR="001E68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159"/>
    <w:multiLevelType w:val="hybridMultilevel"/>
    <w:tmpl w:val="0256F250"/>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3891DC4"/>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2" w15:restartNumberingAfterBreak="0">
    <w:nsid w:val="182748CB"/>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3" w15:restartNumberingAfterBreak="0">
    <w:nsid w:val="25986BEE"/>
    <w:multiLevelType w:val="hybridMultilevel"/>
    <w:tmpl w:val="9A4E0E36"/>
    <w:lvl w:ilvl="0" w:tplc="2C0A000F">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4" w15:restartNumberingAfterBreak="0">
    <w:nsid w:val="273A09C8"/>
    <w:multiLevelType w:val="hybridMultilevel"/>
    <w:tmpl w:val="DE1C83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B0E3647"/>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6" w15:restartNumberingAfterBreak="0">
    <w:nsid w:val="3C5540E2"/>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7" w15:restartNumberingAfterBreak="0">
    <w:nsid w:val="41226954"/>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8" w15:restartNumberingAfterBreak="0">
    <w:nsid w:val="51311863"/>
    <w:multiLevelType w:val="multilevel"/>
    <w:tmpl w:val="5131186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86173B"/>
    <w:multiLevelType w:val="multilevel"/>
    <w:tmpl w:val="0B16A1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10" w15:restartNumberingAfterBreak="0">
    <w:nsid w:val="79921FA2"/>
    <w:multiLevelType w:val="hybridMultilevel"/>
    <w:tmpl w:val="6512F1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7"/>
  </w:num>
  <w:num w:numId="5">
    <w:abstractNumId w:val="1"/>
  </w:num>
  <w:num w:numId="6">
    <w:abstractNumId w:val="5"/>
  </w:num>
  <w:num w:numId="7">
    <w:abstractNumId w:val="2"/>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4E"/>
    <w:rsid w:val="00060981"/>
    <w:rsid w:val="001051E9"/>
    <w:rsid w:val="001519CE"/>
    <w:rsid w:val="001E684E"/>
    <w:rsid w:val="003E7078"/>
    <w:rsid w:val="005B2A40"/>
    <w:rsid w:val="00785E83"/>
    <w:rsid w:val="0099249E"/>
    <w:rsid w:val="00A5587B"/>
    <w:rsid w:val="00AC4062"/>
    <w:rsid w:val="00B81BC0"/>
    <w:rsid w:val="00B86A28"/>
    <w:rsid w:val="00BD5957"/>
    <w:rsid w:val="00E86F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7338"/>
  <w15:chartTrackingRefBased/>
  <w15:docId w15:val="{1F412BD0-B2D0-4083-BED0-0A54C182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84E"/>
    <w:pPr>
      <w:jc w:val="both"/>
    </w:pPr>
    <w:rPr>
      <w:rFonts w:ascii="Arial" w:hAnsi="Arial"/>
      <w:sz w:val="20"/>
    </w:rPr>
  </w:style>
  <w:style w:type="paragraph" w:styleId="Ttulo1">
    <w:name w:val="heading 1"/>
    <w:basedOn w:val="Normal"/>
    <w:next w:val="Normal"/>
    <w:link w:val="Ttulo1Car"/>
    <w:uiPriority w:val="9"/>
    <w:qFormat/>
    <w:rsid w:val="001E68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E684E"/>
    <w:pPr>
      <w:widowControl w:val="0"/>
      <w:spacing w:after="0" w:line="240" w:lineRule="auto"/>
      <w:ind w:left="477" w:hanging="236"/>
      <w:jc w:val="left"/>
    </w:pPr>
    <w:rPr>
      <w:rFonts w:ascii="Calibri" w:eastAsia="Calibri" w:hAnsi="Calibri" w:cs="Calibri"/>
      <w:sz w:val="22"/>
      <w:lang w:val="es-ES"/>
    </w:rPr>
  </w:style>
  <w:style w:type="paragraph" w:customStyle="1" w:styleId="Normal1">
    <w:name w:val="Normal1"/>
    <w:basedOn w:val="Normal"/>
    <w:link w:val="Normal1Car"/>
    <w:uiPriority w:val="1"/>
    <w:qFormat/>
    <w:rsid w:val="001E684E"/>
    <w:pPr>
      <w:spacing w:before="240"/>
    </w:pPr>
    <w:rPr>
      <w:rFonts w:eastAsia="Arial MT" w:cs="Arial"/>
      <w:szCs w:val="20"/>
      <w:lang w:val="es-ES"/>
    </w:rPr>
  </w:style>
  <w:style w:type="character" w:customStyle="1" w:styleId="Normal1Car">
    <w:name w:val="Normal1 Car"/>
    <w:basedOn w:val="Fuentedeprrafopredeter"/>
    <w:link w:val="Normal1"/>
    <w:uiPriority w:val="1"/>
    <w:qFormat/>
    <w:rsid w:val="001E684E"/>
    <w:rPr>
      <w:rFonts w:ascii="Arial" w:eastAsia="Arial MT" w:hAnsi="Arial" w:cs="Arial"/>
      <w:sz w:val="20"/>
      <w:szCs w:val="20"/>
      <w:lang w:val="es-ES"/>
    </w:rPr>
  </w:style>
  <w:style w:type="character" w:customStyle="1" w:styleId="Ttulo1Car">
    <w:name w:val="Título 1 Car"/>
    <w:basedOn w:val="Fuentedeprrafopredeter"/>
    <w:link w:val="Ttulo1"/>
    <w:uiPriority w:val="9"/>
    <w:qFormat/>
    <w:rsid w:val="001E684E"/>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E86F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tadisticaciudad.gob.ar/eyc/glosario-definicion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2329</Words>
  <Characters>12811</Characters>
  <Application>Microsoft Office Word</Application>
  <DocSecurity>0</DocSecurity>
  <Lines>106</Lines>
  <Paragraphs>30</Paragraphs>
  <ScaleCrop>false</ScaleCrop>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Virginia Salgado</cp:lastModifiedBy>
  <cp:revision>13</cp:revision>
  <dcterms:created xsi:type="dcterms:W3CDTF">2025-10-30T13:19:00Z</dcterms:created>
  <dcterms:modified xsi:type="dcterms:W3CDTF">2025-10-31T12:00:00Z</dcterms:modified>
</cp:coreProperties>
</file>